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Laser frakcyjny ablacyjny i nieablacyjny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Laser frakcyjny to najskuteczniejszy typ lasera, którego działanie sprowadza się do generowania mikrouszkodzeń skóry. Efektem zastosowania lasera jest zintensyfikowanie procesów regeneracyjnych skóry, co przekłada się na kompleksowe odmłodzenie i upiększenie skóry zarówno na twarzy, jak i w wybranych obszarach ciała.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Laser frakcyjny Kraków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– odmładzanie i upiększanie skóry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Laser frakcyjny ablacyjny to najskuteczniejszy laser o wszechstronnym działaniu, który oddziałuje zarówno na naskórek, jak i skórę właściwą. Wykonany w ten sposób peeling laserowy wygładza i ujędrnia skórę, umożliwiając jednocześnie redukcję zmarszczek, przebarwień i blizn. Z kolei laser frakcyjny nieablacyjny działa wyłącznie w głębszych warstwach skóry zapewniając efekt głębokiego liftingu twarzy.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Laser frakcyjny iPIXEL i Clearlift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Niewiele jest placówek, które dysponują zarówno ablacyjnym, jak i nieablacyjnym laserem frakcyjnym. Kraków posiada takie miejsce – to klinika Neonia wyposażona w najnowocześniejsze lasery na rynku. </w:t>
      </w:r>
      <w:r>
        <w:rPr>
          <w:rFonts w:ascii="calibri" w:hAnsi="calibri" w:eastAsia="calibri" w:cs="calibri"/>
          <w:sz w:val="24"/>
          <w:szCs w:val="24"/>
          <w:b/>
        </w:rPr>
        <w:t xml:space="preserve">Laser ablacyjny iPIXEL</w:t>
      </w:r>
      <w:r>
        <w:rPr>
          <w:rFonts w:ascii="calibri" w:hAnsi="calibri" w:eastAsia="calibri" w:cs="calibri"/>
          <w:sz w:val="24"/>
          <w:szCs w:val="24"/>
        </w:rPr>
        <w:t xml:space="preserve"> umożliwia osiągniecie efektu dogłębnego resurfacingu skóry, a </w:t>
      </w:r>
      <w:r>
        <w:rPr>
          <w:rFonts w:ascii="calibri" w:hAnsi="calibri" w:eastAsia="calibri" w:cs="calibri"/>
          <w:sz w:val="24"/>
          <w:szCs w:val="24"/>
          <w:b/>
        </w:rPr>
        <w:t xml:space="preserve">laser nieablacyjny Clearlift</w:t>
      </w:r>
      <w:r>
        <w:rPr>
          <w:rFonts w:ascii="calibri" w:hAnsi="calibri" w:eastAsia="calibri" w:cs="calibri"/>
          <w:sz w:val="24"/>
          <w:szCs w:val="24"/>
        </w:rPr>
        <w:t xml:space="preserve"> – efektu kompleksowego ujędrnienia skóry bez przerywania jej ciągłości.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neonia.com.pl/laseroterapia/laser-frakcyjny-resurfacing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2024-04-25T05:41:58+02:00</dcterms:created>
  <dcterms:modified xsi:type="dcterms:W3CDTF">2024-04-25T05:41:58+02:00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