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Laser frakcyjny ablacyjny i nieablacyjny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Laser frakcyjny to najskuteczniejszy typ lasera, którego działanie sprowadza się do generowania mikrouszkodzeń skóry. Efektem zastosowania lasera jest zintensyfikowanie procesów regeneracyjnych skóry, co przekłada się na kompleksowe odmłodzenie i upiększenie skóry zarówno na twarzy, jak i w wybranych obszarach ciała.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Laser frakcyjny Kraków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– odmładzanie i upiększanie skóry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Laser frakcyjny ablacyjny to najskuteczniejszy laser o wszechstronnym działaniu, który oddziałuje zarówno na naskórek, jak i skórę właściwą. Wykonany w ten sposób peeling laserowy wygładza i ujędrnia skórę, umożliwiając jednocześnie redukcję zmarszczek, przebarwień i blizn. Z kolei laser frakcyjny nieablacyjny działa wyłącznie w głębszych warstwach skóry zapewniając efekt głębokiego liftingu twarzy.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Laser frakcyjny iPIXEL i Clearlift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Niewiele jest placówek, które dysponują zarówno ablacyjnym, jak i nieablacyjnym laserem frakcyjnym. Kraków posiada takie miejsce – to klinika Neonia wyposażona w najnowocześniejsze lasery na rynku. </w:t>
      </w:r>
      <w:r>
        <w:rPr>
          <w:rFonts w:ascii="calibri" w:hAnsi="calibri" w:eastAsia="calibri" w:cs="calibri"/>
          <w:sz w:val="24"/>
          <w:szCs w:val="24"/>
          <w:b/>
        </w:rPr>
        <w:t xml:space="preserve">Laser ablacyjny iPIXEL</w:t>
      </w:r>
      <w:r>
        <w:rPr>
          <w:rFonts w:ascii="calibri" w:hAnsi="calibri" w:eastAsia="calibri" w:cs="calibri"/>
          <w:sz w:val="24"/>
          <w:szCs w:val="24"/>
        </w:rPr>
        <w:t xml:space="preserve"> umożliwia osiągniecie efektu dogłębnego resurfacingu skóry, a </w:t>
      </w:r>
      <w:r>
        <w:rPr>
          <w:rFonts w:ascii="calibri" w:hAnsi="calibri" w:eastAsia="calibri" w:cs="calibri"/>
          <w:sz w:val="24"/>
          <w:szCs w:val="24"/>
          <w:b/>
        </w:rPr>
        <w:t xml:space="preserve">laser nieablacyjny Clearlift</w:t>
      </w:r>
      <w:r>
        <w:rPr>
          <w:rFonts w:ascii="calibri" w:hAnsi="calibri" w:eastAsia="calibri" w:cs="calibri"/>
          <w:sz w:val="24"/>
          <w:szCs w:val="24"/>
        </w:rPr>
        <w:t xml:space="preserve"> – efektu kompleksowego ujędrnienia skóry bez przerywania jej ciągłości.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eonia.com.pl/laseroterapia/laser-frakcyjny-resurfacing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2026-08-29T08:35:32+02:00</dcterms:created>
  <dcterms:modified xsi:type="dcterms:W3CDTF">2026-08-29T08:35:32+02:00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